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5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黑体" w:hAnsi="黑体" w:eastAsia="黑体" w:cs="黑体"/>
          <w:b w:val="0"/>
          <w:bCs w:val="0"/>
          <w:spacing w:val="11"/>
          <w:sz w:val="36"/>
          <w:szCs w:val="36"/>
          <w:lang w:val="en-US" w:eastAsia="zh-CN"/>
        </w:rPr>
      </w:pPr>
      <w:bookmarkStart w:id="0" w:name="_Toc2491"/>
      <w:bookmarkStart w:id="22" w:name="_GoBack"/>
      <w:r>
        <w:rPr>
          <w:rFonts w:hint="eastAsia" w:ascii="黑体" w:hAnsi="黑体" w:eastAsia="黑体" w:cs="黑体"/>
          <w:b w:val="0"/>
          <w:bCs w:val="0"/>
          <w:spacing w:val="11"/>
          <w:sz w:val="36"/>
          <w:szCs w:val="36"/>
          <w:lang w:val="en-US" w:eastAsia="zh-CN"/>
        </w:rPr>
        <w:t>投标邀请</w:t>
      </w:r>
      <w:bookmarkEnd w:id="0"/>
    </w:p>
    <w:bookmarkEnd w:id="22"/>
    <w:p w14:paraId="2A6A1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pacing w:val="11"/>
          <w:sz w:val="24"/>
          <w:szCs w:val="24"/>
          <w:lang w:val="en-US" w:eastAsia="zh-CN"/>
        </w:rPr>
      </w:pPr>
    </w:p>
    <w:p w14:paraId="5946DA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u w:val="single"/>
        </w:rPr>
        <w:t>中国海洋工程有限公司</w:t>
      </w:r>
      <w:r>
        <w:rPr>
          <w:rFonts w:hint="eastAsia" w:ascii="仿宋" w:hAnsi="仿宋" w:eastAsia="仿宋" w:cs="Arial"/>
          <w:color w:val="auto"/>
          <w:sz w:val="24"/>
          <w:szCs w:val="24"/>
        </w:rPr>
        <w:t>受</w:t>
      </w:r>
      <w:r>
        <w:rPr>
          <w:rFonts w:hint="eastAsia" w:ascii="仿宋" w:hAnsi="仿宋" w:eastAsia="仿宋" w:cs="Arial"/>
          <w:b/>
          <w:bCs/>
          <w:sz w:val="24"/>
          <w:szCs w:val="24"/>
          <w:highlight w:val="none"/>
          <w:u w:val="single"/>
          <w:lang w:val="en-US" w:eastAsia="zh-CN"/>
        </w:rPr>
        <w:t>交通运输部东海救助局</w:t>
      </w:r>
      <w:r>
        <w:rPr>
          <w:rFonts w:hint="eastAsia" w:ascii="仿宋" w:hAnsi="仿宋" w:eastAsia="仿宋" w:cs="Arial"/>
          <w:color w:val="auto"/>
          <w:sz w:val="24"/>
          <w:szCs w:val="24"/>
        </w:rPr>
        <w:t>委托，根据《中华人民共和国政府采购法》等有关规定，现对下述项目进行公开招标</w:t>
      </w:r>
      <w:r>
        <w:rPr>
          <w:rFonts w:hint="eastAsia" w:ascii="仿宋" w:hAnsi="仿宋" w:eastAsia="仿宋" w:cs="Arial"/>
          <w:color w:val="auto"/>
          <w:sz w:val="24"/>
          <w:szCs w:val="24"/>
          <w:lang w:eastAsia="zh-CN"/>
        </w:rPr>
        <w:t>。</w:t>
      </w:r>
    </w:p>
    <w:p w14:paraId="4B36EF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" w:name="_Toc14147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项目基本情况</w:t>
      </w:r>
      <w:bookmarkEnd w:id="1"/>
    </w:p>
    <w:p w14:paraId="152D4D3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项</w:t>
      </w: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  <w:t>目编号：</w:t>
      </w: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u w:val="single"/>
          <w:lang w:val="en-US" w:eastAsia="zh-CN"/>
        </w:rPr>
        <w:t>COES/202609/DR278</w:t>
      </w:r>
    </w:p>
    <w:p w14:paraId="1284190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lang w:val="en-US" w:eastAsia="zh-CN"/>
        </w:rPr>
        <w:t>项目名称：</w:t>
      </w:r>
      <w:r>
        <w:rPr>
          <w:rFonts w:hint="eastAsia" w:ascii="仿宋" w:hAnsi="仿宋" w:eastAsia="仿宋" w:cs="Arial"/>
          <w:i w:val="0"/>
          <w:iCs w:val="0"/>
          <w:color w:val="auto"/>
          <w:sz w:val="24"/>
          <w:szCs w:val="24"/>
          <w:u w:val="single"/>
          <w:lang w:val="en-US" w:eastAsia="zh-CN"/>
        </w:rPr>
        <w:t>交通运输部东海救助局2026年度船舶物料采购项目（二）</w:t>
      </w:r>
    </w:p>
    <w:p w14:paraId="32B197D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采购需求：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交通运输部东海救助局拟通过公开招标方式确定供应商，为救助船舶提供船舶日常运维所需的物料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val="en-US" w:eastAsia="zh-CN"/>
        </w:rPr>
        <w:t>物料清单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及要求详见第五章采购需求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none"/>
          <w:lang w:val="en-US" w:eastAsia="zh-CN"/>
        </w:rPr>
        <w:t>。</w:t>
      </w:r>
    </w:p>
    <w:p w14:paraId="49371D5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项目预算金额：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val="en-US" w:eastAsia="zh-CN"/>
        </w:rPr>
        <w:t>250万元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、项目最高限价：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single"/>
          <w:lang w:val="en-US" w:eastAsia="zh-CN"/>
        </w:rPr>
        <w:t>250万元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（含税）；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>最终根据采购人上级主管单位实际下发的预算为准。</w:t>
      </w:r>
    </w:p>
    <w:p w14:paraId="0BBB58A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供货期限：</w:t>
      </w:r>
      <w:r>
        <w:rPr>
          <w:rFonts w:hint="eastAsia" w:ascii="仿宋" w:hAnsi="仿宋" w:eastAsia="仿宋" w:cs="Arial"/>
          <w:sz w:val="24"/>
          <w:szCs w:val="24"/>
          <w:highlight w:val="none"/>
          <w:u w:val="single"/>
          <w:lang w:val="en-US" w:eastAsia="zh-CN"/>
        </w:rPr>
        <w:t>合同签订后至</w:t>
      </w:r>
      <w:r>
        <w:rPr>
          <w:rFonts w:hint="eastAsia" w:ascii="仿宋" w:hAnsi="仿宋" w:eastAsia="仿宋" w:cs="Arial"/>
          <w:kern w:val="2"/>
          <w:sz w:val="24"/>
          <w:szCs w:val="24"/>
          <w:highlight w:val="none"/>
          <w:u w:val="single"/>
          <w:lang w:val="en-US" w:eastAsia="zh-CN" w:bidi="ar"/>
        </w:rPr>
        <w:t>供货累计达到预算金额</w:t>
      </w:r>
      <w:r>
        <w:rPr>
          <w:rFonts w:hint="eastAsia" w:ascii="仿宋" w:hAnsi="仿宋" w:eastAsia="仿宋" w:cs="Arial"/>
          <w:kern w:val="2"/>
          <w:sz w:val="24"/>
          <w:szCs w:val="24"/>
          <w:highlight w:val="none"/>
          <w:u w:val="none"/>
          <w:lang w:val="en-US" w:eastAsia="zh-CN" w:bidi="ar"/>
        </w:rPr>
        <w:t>。</w:t>
      </w:r>
    </w:p>
    <w:p w14:paraId="001CAB6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交货地点：</w:t>
      </w:r>
      <w:r>
        <w:rPr>
          <w:rFonts w:hint="eastAsia" w:ascii="仿宋" w:hAnsi="仿宋" w:eastAsia="仿宋" w:cs="Arial"/>
          <w:sz w:val="24"/>
          <w:szCs w:val="24"/>
          <w:highlight w:val="none"/>
          <w:u w:val="single"/>
          <w:lang w:val="en-US" w:eastAsia="zh-CN"/>
        </w:rPr>
        <w:t>采购人指定国内地点（主要包含但不限于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交通运输部东海救助局东海辖区</w:t>
      </w:r>
      <w:r>
        <w:rPr>
          <w:rFonts w:hint="eastAsia" w:ascii="仿宋" w:hAnsi="仿宋" w:eastAsia="仿宋" w:cs="Arial"/>
          <w:sz w:val="24"/>
          <w:szCs w:val="24"/>
          <w:highlight w:val="none"/>
          <w:u w:val="single"/>
          <w:lang w:val="en-US" w:eastAsia="zh-CN"/>
        </w:rPr>
        <w:t>）；</w:t>
      </w:r>
      <w:r>
        <w:rPr>
          <w:rFonts w:ascii="仿宋" w:hAnsi="仿宋" w:eastAsia="仿宋" w:cs="仿宋"/>
          <w:spacing w:val="-2"/>
          <w:sz w:val="24"/>
          <w:szCs w:val="24"/>
          <w:highlight w:val="none"/>
          <w:u w:val="single"/>
        </w:rPr>
        <w:t>采取按批次</w:t>
      </w:r>
      <w:r>
        <w:rPr>
          <w:rFonts w:ascii="仿宋" w:hAnsi="仿宋" w:eastAsia="仿宋" w:cs="仿宋"/>
          <w:spacing w:val="-1"/>
          <w:sz w:val="24"/>
          <w:szCs w:val="24"/>
          <w:highlight w:val="none"/>
          <w:u w:val="single"/>
        </w:rPr>
        <w:t>按实结算方式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eastAsia="zh-CN"/>
        </w:rPr>
        <w:t>，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single"/>
          <w:lang w:val="en-US" w:eastAsia="zh-CN"/>
        </w:rPr>
        <w:t>单次物料供应种类、数量和地点以采购人通知为准</w:t>
      </w:r>
      <w:r>
        <w:rPr>
          <w:rFonts w:hint="eastAsia" w:ascii="仿宋" w:hAnsi="仿宋" w:eastAsia="仿宋" w:cs="仿宋"/>
          <w:spacing w:val="-1"/>
          <w:sz w:val="24"/>
          <w:szCs w:val="24"/>
          <w:highlight w:val="none"/>
          <w:u w:val="none"/>
          <w:lang w:val="en-US" w:eastAsia="zh-CN"/>
        </w:rPr>
        <w:t>。</w:t>
      </w:r>
    </w:p>
    <w:p w14:paraId="44C1FF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本项目是否接受联合体投标：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□</w:t>
      </w:r>
      <w:r>
        <w:rPr>
          <w:rFonts w:hint="eastAsia" w:ascii="仿宋" w:hAnsi="仿宋" w:eastAsia="仿宋" w:cs="仿宋"/>
          <w:spacing w:val="2"/>
          <w:sz w:val="24"/>
          <w:szCs w:val="24"/>
        </w:rPr>
        <w:t xml:space="preserve">是  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☑</w:t>
      </w:r>
      <w:r>
        <w:rPr>
          <w:rFonts w:hint="eastAsia" w:ascii="仿宋" w:hAnsi="仿宋" w:eastAsia="仿宋" w:cs="仿宋"/>
          <w:spacing w:val="2"/>
          <w:sz w:val="24"/>
          <w:szCs w:val="24"/>
        </w:rPr>
        <w:t>否</w:t>
      </w:r>
    </w:p>
    <w:p w14:paraId="3BB489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2" w:name="_Toc22660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供应商资格要求（须同时满足）</w:t>
      </w:r>
      <w:bookmarkEnd w:id="2"/>
    </w:p>
    <w:p w14:paraId="2F122F4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1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bookmarkStart w:id="3" w:name="_Toc23018"/>
      <w:bookmarkStart w:id="4" w:name="_Toc28387"/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满足《中华人民共和国政府采购法》第二十二条规定：</w:t>
      </w:r>
      <w:bookmarkEnd w:id="3"/>
      <w:bookmarkEnd w:id="4"/>
    </w:p>
    <w:p w14:paraId="6D08D608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具有独立承担民事责任的能力；</w:t>
      </w:r>
    </w:p>
    <w:p w14:paraId="502E7B96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具有良好的商业信誉和健全的财务会计制度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4CD55343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具有履行合同所必需的设备和专业技术能力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3E756837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有依法缴纳税收和社会保障资金的良好记录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35EE4FE1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参加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本次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政府采购活动前三年内，在经营活动中没有重大违法记录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68B8BD6D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法律、行政法规规定的其他条件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74F5F09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1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bookmarkStart w:id="5" w:name="_Toc5713"/>
      <w:bookmarkStart w:id="6" w:name="_Toc27588"/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本项目的特定资格要求：</w:t>
      </w:r>
      <w:bookmarkEnd w:id="5"/>
      <w:bookmarkEnd w:id="6"/>
    </w:p>
    <w:p w14:paraId="07A22D30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需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从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代理机构处正式获得本项目招标文件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；</w:t>
      </w:r>
    </w:p>
    <w:p w14:paraId="251F3208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单位负责人为同一人或者存在控股、管理关系的不同单位，不得参加同一标包投标或者未划分标包的同一项目；</w:t>
      </w:r>
    </w:p>
    <w:p w14:paraId="3E88BC6D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为本项目提供整体设计、规范编制或者项目管理、监理、检测等服务的供应商，不得再参加本采购项目的其他采购活动。</w:t>
      </w:r>
    </w:p>
    <w:p w14:paraId="67362CC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1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bookmarkStart w:id="7" w:name="_Toc5525"/>
      <w:bookmarkStart w:id="8" w:name="_Toc326"/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落实政府采购政策需满足的资格要求：</w:t>
      </w:r>
      <w:bookmarkEnd w:id="7"/>
      <w:bookmarkEnd w:id="8"/>
    </w:p>
    <w:p w14:paraId="56C0AB74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outlineLvl w:val="2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中小企业政策</w:t>
      </w:r>
    </w:p>
    <w:p w14:paraId="175710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☑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本项目不专门面向中小企业预留采购份额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68435E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 xml:space="preserve">□本项目专门面向  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□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中小  □小微企业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2"/>
          <w:sz w:val="24"/>
          <w:szCs w:val="24"/>
        </w:rPr>
        <w:t>采购。即：提供的货物全部由符合政策要求的中小/小微企业制造、服务全部由符合政策要求的中小/小微企业承接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06655A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</w:rPr>
        <w:t>□本项目预留部分采购项目预算专门面向中小企业采购。对于预留份额，提供的货物由符合政策要求的中小企业制造、服务由符合政策要求的中小企业承接。预留份额通过以下措施进行：____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7D1CC2FF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8" w:firstLineChars="200"/>
        <w:jc w:val="both"/>
        <w:textAlignment w:val="auto"/>
        <w:outlineLvl w:val="2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其他</w:t>
      </w:r>
      <w:r>
        <w:rPr>
          <w:rFonts w:hint="eastAsia" w:ascii="仿宋" w:hAnsi="仿宋" w:eastAsia="仿宋" w:cs="仿宋"/>
          <w:spacing w:val="2"/>
          <w:sz w:val="24"/>
          <w:szCs w:val="24"/>
        </w:rPr>
        <w:t>落实政府采购政策的资格要求（如有）：</w:t>
      </w:r>
      <w:r>
        <w:rPr>
          <w:rFonts w:hint="eastAsia" w:ascii="仿宋" w:hAnsi="仿宋" w:eastAsia="仿宋" w:cs="仿宋"/>
          <w:spacing w:val="2"/>
          <w:sz w:val="24"/>
          <w:szCs w:val="24"/>
          <w:u w:val="single"/>
          <w:lang w:val="en-US" w:eastAsia="zh-CN"/>
        </w:rPr>
        <w:t xml:space="preserve">无  </w:t>
      </w:r>
      <w:r>
        <w:rPr>
          <w:rFonts w:hint="eastAsia" w:ascii="仿宋" w:hAnsi="仿宋" w:eastAsia="仿宋" w:cs="仿宋"/>
          <w:spacing w:val="2"/>
          <w:sz w:val="24"/>
          <w:szCs w:val="24"/>
          <w:u w:val="none"/>
          <w:lang w:val="en-US" w:eastAsia="zh-CN"/>
        </w:rPr>
        <w:t>。</w:t>
      </w:r>
    </w:p>
    <w:p w14:paraId="5F97E82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default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9" w:name="_Toc22418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获取招标文件</w:t>
      </w:r>
      <w:bookmarkEnd w:id="9"/>
    </w:p>
    <w:p w14:paraId="2AA74F0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时间：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自2026</w:t>
      </w:r>
      <w:r>
        <w:rPr>
          <w:rFonts w:hint="eastAsia" w:ascii="仿宋" w:hAnsi="仿宋" w:eastAsia="仿宋" w:cs="仿宋"/>
          <w:spacing w:val="2"/>
          <w:sz w:val="24"/>
          <w:szCs w:val="24"/>
        </w:rPr>
        <w:t>年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月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日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起</w:t>
      </w:r>
      <w:r>
        <w:rPr>
          <w:rFonts w:hint="eastAsia" w:ascii="仿宋" w:hAnsi="仿宋" w:eastAsia="仿宋" w:cs="仿宋"/>
          <w:spacing w:val="2"/>
          <w:sz w:val="24"/>
          <w:szCs w:val="24"/>
        </w:rPr>
        <w:t>至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spacing w:val="2"/>
          <w:sz w:val="24"/>
          <w:szCs w:val="24"/>
        </w:rPr>
        <w:t>年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月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14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日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止（</w:t>
      </w:r>
      <w:r>
        <w:rPr>
          <w:rFonts w:hint="eastAsia" w:ascii="仿宋" w:hAnsi="仿宋" w:eastAsia="仿宋" w:cs="仿宋"/>
          <w:spacing w:val="2"/>
          <w:sz w:val="24"/>
          <w:szCs w:val="24"/>
        </w:rPr>
        <w:t>节假日除外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pacing w:val="2"/>
          <w:sz w:val="24"/>
          <w:szCs w:val="24"/>
        </w:rPr>
        <w:t>，每日9时00分至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17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时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0</w:t>
      </w:r>
      <w:r>
        <w:rPr>
          <w:rFonts w:hint="eastAsia" w:ascii="仿宋" w:hAnsi="仿宋" w:eastAsia="仿宋" w:cs="仿宋"/>
          <w:spacing w:val="2"/>
          <w:sz w:val="24"/>
          <w:szCs w:val="24"/>
        </w:rPr>
        <w:t>0分（北京时间）</w:t>
      </w:r>
      <w:r>
        <w:rPr>
          <w:rFonts w:hint="eastAsia" w:ascii="仿宋" w:hAnsi="仿宋" w:eastAsia="仿宋" w:cs="仿宋"/>
          <w:spacing w:val="2"/>
          <w:sz w:val="24"/>
          <w:szCs w:val="24"/>
          <w:lang w:eastAsia="zh-CN"/>
        </w:rPr>
        <w:t>。</w:t>
      </w:r>
    </w:p>
    <w:p w14:paraId="1052C73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方式：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请将招标文件购买费用通过公司账户电汇至采购代理机构账户，汇款时需备注“项目编号”，并提供《招标文件购买（领取）登记表》（见附件）及汇款凭证扫描件发送至采购代理机构指定邮箱（</w:t>
      </w:r>
      <w:r>
        <w:rPr>
          <w:rFonts w:hint="eastAsia" w:ascii="仿宋" w:hAnsi="仿宋" w:eastAsia="仿宋" w:cs="Times New Roman"/>
          <w:color w:val="auto"/>
          <w:sz w:val="24"/>
          <w:szCs w:val="24"/>
          <w:u w:val="none"/>
          <w:lang w:val="en-US" w:eastAsia="zh-CN"/>
        </w:rPr>
        <w:t>见下方采购代理机构联系方式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）。采购代理机构</w:t>
      </w:r>
      <w:r>
        <w:rPr>
          <w:rFonts w:hint="eastAsia" w:ascii="仿宋" w:hAnsi="仿宋" w:eastAsia="仿宋" w:cs="Arial"/>
          <w:sz w:val="24"/>
          <w:szCs w:val="24"/>
          <w:lang w:val="en-US" w:eastAsia="zh-CN"/>
        </w:rPr>
        <w:t>确认</w:t>
      </w:r>
      <w:r>
        <w:rPr>
          <w:rFonts w:hint="eastAsia" w:ascii="仿宋" w:hAnsi="仿宋" w:eastAsia="仿宋" w:cs="Arial"/>
          <w:sz w:val="24"/>
          <w:szCs w:val="24"/>
        </w:rPr>
        <w:t>后</w:t>
      </w:r>
      <w:r>
        <w:rPr>
          <w:rFonts w:hint="eastAsia" w:ascii="仿宋" w:hAnsi="仿宋" w:eastAsia="仿宋" w:cs="Arial"/>
          <w:sz w:val="24"/>
          <w:szCs w:val="24"/>
          <w:lang w:val="en-US" w:eastAsia="zh-CN"/>
        </w:rPr>
        <w:t>会提供招标文件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。</w:t>
      </w:r>
    </w:p>
    <w:p w14:paraId="581750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采购代理机构银行信息如下：</w:t>
      </w:r>
    </w:p>
    <w:p w14:paraId="44CB0D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公司名称：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中国海洋工程有限公司北京分公司</w:t>
      </w:r>
    </w:p>
    <w:p w14:paraId="325619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开户银行：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招商银行股份有限公司北京北三环支行</w:t>
      </w:r>
    </w:p>
    <w:p w14:paraId="02B5DA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账    号：</w:t>
      </w:r>
      <w:r>
        <w:rPr>
          <w:rFonts w:hint="eastAsia" w:ascii="仿宋" w:hAnsi="仿宋" w:eastAsia="仿宋" w:cs="仿宋"/>
          <w:spacing w:val="2"/>
          <w:sz w:val="24"/>
          <w:szCs w:val="24"/>
        </w:rPr>
        <w:t>1109 3744 6510 801</w:t>
      </w:r>
    </w:p>
    <w:p w14:paraId="74A0709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售价：</w:t>
      </w: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200元，售后不退，电子发票会在项目登记领购结束后发送至报名邮箱。</w:t>
      </w:r>
    </w:p>
    <w:p w14:paraId="2024EE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default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0" w:name="_Toc28401"/>
      <w:bookmarkStart w:id="11" w:name="_Toc12531"/>
      <w:bookmarkStart w:id="12" w:name="_Toc28917"/>
      <w:bookmarkStart w:id="13" w:name="_Toc31315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提交投标文件方式、截止时间、开标时间和地点</w:t>
      </w:r>
      <w:bookmarkEnd w:id="10"/>
      <w:bookmarkEnd w:id="11"/>
      <w:bookmarkEnd w:id="12"/>
      <w:bookmarkEnd w:id="13"/>
    </w:p>
    <w:p w14:paraId="216A716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提交投标文件方式：由委托代理人现场提交或邮寄提交（邮寄时订单信息需备注公司全称）。</w:t>
      </w:r>
    </w:p>
    <w:p w14:paraId="7434E9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现场提交地点：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上海市杨浦区杨树浦路1426号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中国海洋工程有限公司207会议室</w:t>
      </w: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；</w:t>
      </w:r>
    </w:p>
    <w:p w14:paraId="2B1EE5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邮寄地址：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上海市杨浦区杨树浦路1426号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中国海洋工程有限公司</w:t>
      </w: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；</w:t>
      </w:r>
    </w:p>
    <w:p w14:paraId="6DD03A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收件人：王加鑫/李阳洋，联系电话：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13636327827/13243532606</w:t>
      </w:r>
      <w:r>
        <w:rPr>
          <w:rFonts w:hint="eastAsia" w:ascii="仿宋" w:hAnsi="仿宋" w:eastAsia="仿宋" w:cs="Arial"/>
          <w:color w:val="auto"/>
          <w:sz w:val="24"/>
          <w:szCs w:val="24"/>
          <w:lang w:val="en-US" w:eastAsia="zh-CN"/>
        </w:rPr>
        <w:t>。</w:t>
      </w:r>
    </w:p>
    <w:p w14:paraId="29BFEA7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投标截止时间、开标时间：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2026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29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日</w:t>
      </w:r>
      <w:r>
        <w:rPr>
          <w:rFonts w:hint="eastAsia" w:ascii="仿宋" w:hAnsi="仿宋" w:eastAsia="仿宋" w:cs="仿宋"/>
          <w:spacing w:val="2"/>
          <w:sz w:val="24"/>
          <w:szCs w:val="24"/>
        </w:rPr>
        <w:t>9时00分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（北京时间）。</w:t>
      </w:r>
    </w:p>
    <w:p w14:paraId="6F7DCEA2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default" w:ascii="仿宋" w:hAnsi="仿宋" w:eastAsia="仿宋" w:cs="Arial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开标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</w:rPr>
        <w:t>地点：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</w:rPr>
        <w:t>上海市杨浦区杨树浦路1426号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中国海洋工程有限公司207会议室。</w:t>
      </w:r>
    </w:p>
    <w:p w14:paraId="49790F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4" w:name="_Toc27319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公告期限</w:t>
      </w:r>
      <w:bookmarkEnd w:id="14"/>
    </w:p>
    <w:p w14:paraId="1B9F92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  <w:t>自本公告发布之日起5个工作日。</w:t>
      </w:r>
    </w:p>
    <w:p w14:paraId="779D622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5" w:name="_Toc16355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行政监督管理部门</w:t>
      </w:r>
      <w:bookmarkEnd w:id="15"/>
    </w:p>
    <w:p w14:paraId="5F1FEE0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20" w:leftChars="0"/>
        <w:jc w:val="left"/>
        <w:textAlignment w:val="baseline"/>
        <w:rPr>
          <w:rFonts w:hint="eastAsia" w:ascii="仿宋" w:hAnsi="仿宋" w:eastAsia="仿宋" w:cs="Arial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本项目行政监督部门：交通运输部。</w:t>
      </w:r>
    </w:p>
    <w:p w14:paraId="0E46AE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6" w:name="_Toc31841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发布公告的媒介</w:t>
      </w:r>
      <w:bookmarkEnd w:id="16"/>
    </w:p>
    <w:p w14:paraId="068416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</w:rPr>
        <w:t>本次招标项目的招标信息，包括招标公告和中标公告等，将在中国政府采购网（http://www.ccgp.gov.cn/）上发布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eastAsia="zh-CN"/>
        </w:rPr>
        <w:t>。</w:t>
      </w:r>
    </w:p>
    <w:p w14:paraId="4BCDD1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</w:pPr>
      <w:bookmarkStart w:id="17" w:name="_Toc2194"/>
      <w:r>
        <w:rPr>
          <w:rFonts w:hint="eastAsia" w:ascii="仿宋" w:hAnsi="仿宋" w:eastAsia="仿宋" w:cs="Arial"/>
          <w:b/>
          <w:bCs/>
          <w:color w:val="auto"/>
          <w:sz w:val="24"/>
          <w:szCs w:val="24"/>
          <w:lang w:val="en-US" w:eastAsia="zh-CN"/>
        </w:rPr>
        <w:t>联系方式</w:t>
      </w:r>
      <w:bookmarkEnd w:id="17"/>
    </w:p>
    <w:p w14:paraId="696B036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1"/>
        <w:rPr>
          <w:rFonts w:hint="default" w:ascii="仿宋" w:hAnsi="仿宋" w:eastAsia="仿宋" w:cs="仿宋"/>
          <w:spacing w:val="2"/>
          <w:sz w:val="24"/>
          <w:szCs w:val="24"/>
          <w:lang w:val="en-US" w:eastAsia="zh-CN"/>
        </w:rPr>
      </w:pPr>
      <w:bookmarkStart w:id="18" w:name="_Toc32239"/>
      <w:bookmarkStart w:id="19" w:name="_Toc10284"/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采购人</w:t>
      </w:r>
      <w:bookmarkEnd w:id="18"/>
      <w:bookmarkEnd w:id="19"/>
    </w:p>
    <w:p w14:paraId="2C9C0531">
      <w:pPr>
        <w:pStyle w:val="10"/>
        <w:spacing w:line="360" w:lineRule="auto"/>
        <w:rPr>
          <w:rFonts w:hint="default" w:ascii="仿宋" w:hAnsi="仿宋" w:eastAsia="仿宋" w:cs="Arial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名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称：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>交通运输部东海救助局</w:t>
      </w:r>
    </w:p>
    <w:p w14:paraId="4BC76032">
      <w:pPr>
        <w:pStyle w:val="10"/>
        <w:spacing w:line="360" w:lineRule="auto"/>
        <w:rPr>
          <w:rFonts w:hint="eastAsia" w:ascii="仿宋" w:hAnsi="仿宋" w:eastAsia="仿宋" w:cs="Arial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地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ascii="仿宋" w:hAnsi="仿宋" w:eastAsia="仿宋" w:cs="Arial"/>
          <w:sz w:val="24"/>
          <w:szCs w:val="24"/>
          <w:highlight w:val="none"/>
          <w:u w:val="none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址：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上海市杨浦区杨树浦路1426号 </w:t>
      </w:r>
    </w:p>
    <w:p w14:paraId="06D4E8DD">
      <w:pPr>
        <w:pStyle w:val="10"/>
        <w:numPr>
          <w:ilvl w:val="-1"/>
          <w:numId w:val="0"/>
        </w:numPr>
        <w:spacing w:line="360" w:lineRule="auto"/>
        <w:ind w:firstLine="480" w:firstLineChars="200"/>
        <w:rPr>
          <w:rFonts w:hint="eastAsia" w:ascii="仿宋" w:hAnsi="仿宋" w:eastAsia="仿宋" w:cs="Arial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联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系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人：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eastAsia="zh-CN"/>
        </w:rPr>
        <w:t>钮佳玮</w:t>
      </w:r>
    </w:p>
    <w:p w14:paraId="739A1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 xml:space="preserve">电 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</w:rPr>
        <w:t>话：</w:t>
      </w:r>
      <w:r>
        <w:rPr>
          <w:rFonts w:hint="eastAsia" w:ascii="仿宋" w:hAnsi="仿宋" w:eastAsia="仿宋" w:cs="Arial"/>
          <w:sz w:val="24"/>
          <w:szCs w:val="24"/>
          <w:highlight w:val="none"/>
          <w:u w:val="none"/>
          <w:lang w:eastAsia="zh-CN"/>
        </w:rPr>
        <w:t>021-55096209</w:t>
      </w:r>
    </w:p>
    <w:p w14:paraId="3840983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1"/>
        <w:rPr>
          <w:rFonts w:hint="default" w:ascii="仿宋" w:hAnsi="仿宋" w:eastAsia="仿宋" w:cs="仿宋"/>
          <w:spacing w:val="2"/>
          <w:sz w:val="24"/>
          <w:szCs w:val="24"/>
          <w:lang w:val="en-US" w:eastAsia="zh-CN"/>
        </w:rPr>
      </w:pPr>
      <w:bookmarkStart w:id="20" w:name="_Toc9329"/>
      <w:bookmarkStart w:id="21" w:name="_Toc29499"/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采购代理机构</w:t>
      </w:r>
      <w:bookmarkEnd w:id="20"/>
      <w:bookmarkEnd w:id="21"/>
    </w:p>
    <w:p w14:paraId="13144A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default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名    称：中国海洋工程有限公司</w:t>
      </w:r>
    </w:p>
    <w:p w14:paraId="38ADFF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地    址：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上海市杨浦区杨树浦路1426号</w:t>
      </w:r>
    </w:p>
    <w:p w14:paraId="2A4672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联 系 人：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李阳洋/王加鑫/张丽洁</w:t>
      </w:r>
    </w:p>
    <w:p w14:paraId="4D6AF4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电子邮箱：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liyy@coes.cn/wangjx@coes.cn</w:t>
      </w:r>
    </w:p>
    <w:p w14:paraId="3BF846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8" w:firstLineChars="200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2"/>
          <w:sz w:val="24"/>
          <w:szCs w:val="24"/>
          <w:lang w:val="en-US" w:eastAsia="zh-CN"/>
        </w:rPr>
        <w:t>联系电话：</w:t>
      </w: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13243532606/13636327827/010-85285387</w:t>
      </w:r>
    </w:p>
    <w:p w14:paraId="18C764E8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33532E03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713E5DAC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536469BC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6C44C8DD">
      <w:pPr>
        <w:pStyle w:val="2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73FAD2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  <w:t>附件：招标文件购买（领取）登记表</w:t>
      </w:r>
    </w:p>
    <w:p w14:paraId="5D3420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仿宋" w:hAnsi="仿宋" w:eastAsia="仿宋" w:cs="Arial"/>
          <w:color w:val="auto"/>
          <w:sz w:val="24"/>
          <w:szCs w:val="24"/>
          <w:highlight w:val="none"/>
          <w:lang w:val="en-US" w:eastAsia="zh-CN"/>
        </w:rPr>
      </w:pPr>
    </w:p>
    <w:p w14:paraId="40BA39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招标文件购买（领取）登记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表</w:t>
      </w:r>
    </w:p>
    <w:tbl>
      <w:tblPr>
        <w:tblStyle w:val="8"/>
        <w:tblW w:w="8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876"/>
        <w:gridCol w:w="5771"/>
      </w:tblGrid>
      <w:tr w14:paraId="3D16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412" w:type="dxa"/>
            <w:gridSpan w:val="2"/>
            <w:vAlign w:val="center"/>
          </w:tcPr>
          <w:p w14:paraId="3C22E1FB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771" w:type="dxa"/>
            <w:vAlign w:val="center"/>
          </w:tcPr>
          <w:p w14:paraId="58823D04">
            <w:pPr>
              <w:spacing w:line="480" w:lineRule="exact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i/>
                <w:iCs/>
                <w:color w:val="auto"/>
                <w:sz w:val="24"/>
                <w:szCs w:val="24"/>
                <w:u w:val="none"/>
                <w:lang w:val="en-US" w:eastAsia="zh-CN"/>
              </w:rPr>
              <w:t>交通运输部东海救助局2026年度船舶物料采购项目（二）</w:t>
            </w:r>
          </w:p>
        </w:tc>
      </w:tr>
      <w:tr w14:paraId="1F0E2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412" w:type="dxa"/>
            <w:gridSpan w:val="2"/>
            <w:vAlign w:val="center"/>
          </w:tcPr>
          <w:p w14:paraId="5142F521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项目编号</w:t>
            </w:r>
          </w:p>
        </w:tc>
        <w:tc>
          <w:tcPr>
            <w:tcW w:w="5771" w:type="dxa"/>
            <w:vAlign w:val="center"/>
          </w:tcPr>
          <w:p w14:paraId="16573174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i/>
                <w:iCs/>
                <w:color w:val="auto"/>
                <w:sz w:val="24"/>
                <w:szCs w:val="24"/>
                <w:u w:val="none"/>
                <w:lang w:val="en-US" w:eastAsia="zh-CN"/>
              </w:rPr>
              <w:t>COES/202609/DR278</w:t>
            </w:r>
          </w:p>
        </w:tc>
      </w:tr>
      <w:tr w14:paraId="2E2A1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536" w:type="dxa"/>
            <w:vMerge w:val="restart"/>
            <w:vAlign w:val="center"/>
          </w:tcPr>
          <w:p w14:paraId="7EEDE92A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信息</w:t>
            </w:r>
          </w:p>
        </w:tc>
        <w:tc>
          <w:tcPr>
            <w:tcW w:w="1876" w:type="dxa"/>
            <w:vAlign w:val="center"/>
          </w:tcPr>
          <w:p w14:paraId="059DAC3E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公司名称</w:t>
            </w:r>
          </w:p>
        </w:tc>
        <w:tc>
          <w:tcPr>
            <w:tcW w:w="5771" w:type="dxa"/>
          </w:tcPr>
          <w:p w14:paraId="4798E982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1357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3" w:hRule="atLeast"/>
          <w:jc w:val="center"/>
        </w:trPr>
        <w:tc>
          <w:tcPr>
            <w:tcW w:w="536" w:type="dxa"/>
            <w:vMerge w:val="continue"/>
            <w:vAlign w:val="center"/>
          </w:tcPr>
          <w:p w14:paraId="76930A0C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029C6513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发票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5771" w:type="dxa"/>
            <w:vAlign w:val="center"/>
          </w:tcPr>
          <w:p w14:paraId="37668DA8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发票类型：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增值税专用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普通发票</w:t>
            </w:r>
          </w:p>
          <w:p w14:paraId="48207544">
            <w:pPr>
              <w:pStyle w:val="6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公司名称：</w:t>
            </w:r>
          </w:p>
          <w:p w14:paraId="75F416A1">
            <w:pPr>
              <w:pStyle w:val="6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公司税号：</w:t>
            </w:r>
          </w:p>
          <w:p w14:paraId="4DF3C2F0">
            <w:pPr>
              <w:pStyle w:val="6"/>
              <w:ind w:left="0" w:leftChars="0" w:firstLine="0" w:firstLineChars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公司地址及电话：</w:t>
            </w:r>
          </w:p>
          <w:p w14:paraId="099E598E">
            <w:pPr>
              <w:pStyle w:val="6"/>
              <w:ind w:left="0" w:leftChars="0" w:firstLine="0" w:firstLineChars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开户银行及账号：</w:t>
            </w:r>
          </w:p>
        </w:tc>
      </w:tr>
      <w:tr w14:paraId="18154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536" w:type="dxa"/>
            <w:vMerge w:val="continue"/>
            <w:vAlign w:val="center"/>
          </w:tcPr>
          <w:p w14:paraId="3BEC9DF4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445A956A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地址、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联系人及联系电话</w:t>
            </w:r>
          </w:p>
        </w:tc>
        <w:tc>
          <w:tcPr>
            <w:tcW w:w="5771" w:type="dxa"/>
          </w:tcPr>
          <w:p w14:paraId="1CD8B888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9F8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536" w:type="dxa"/>
            <w:vMerge w:val="continue"/>
            <w:vAlign w:val="center"/>
          </w:tcPr>
          <w:p w14:paraId="13317562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12ACAAB9">
            <w:pPr>
              <w:spacing w:line="48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退保证金银行信息（如需，请选填）</w:t>
            </w:r>
          </w:p>
        </w:tc>
        <w:tc>
          <w:tcPr>
            <w:tcW w:w="5771" w:type="dxa"/>
            <w:vAlign w:val="center"/>
          </w:tcPr>
          <w:p w14:paraId="4A1A6471">
            <w:pPr>
              <w:pStyle w:val="11"/>
              <w:jc w:val="left"/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开户名称：</w:t>
            </w:r>
          </w:p>
          <w:p w14:paraId="312A51B1">
            <w:pPr>
              <w:pStyle w:val="11"/>
              <w:jc w:val="left"/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开户银行：</w:t>
            </w:r>
          </w:p>
          <w:p w14:paraId="22E71566">
            <w:pPr>
              <w:pStyle w:val="11"/>
              <w:jc w:val="left"/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银行账号：</w:t>
            </w:r>
          </w:p>
          <w:p w14:paraId="7FD73D9C">
            <w:pPr>
              <w:pStyle w:val="11"/>
              <w:jc w:val="left"/>
              <w:rPr>
                <w:rFonts w:hint="eastAsia" w:ascii="仿宋" w:hAnsi="仿宋" w:eastAsia="仿宋"/>
                <w:color w:val="auto"/>
                <w:szCs w:val="24"/>
              </w:rPr>
            </w:pPr>
            <w:r>
              <w:rPr>
                <w:rFonts w:hint="eastAsia" w:ascii="仿宋" w:hAnsi="仿宋" w:eastAsia="仿宋"/>
                <w:bCs w:val="0"/>
                <w:color w:val="auto"/>
                <w:spacing w:val="0"/>
                <w:kern w:val="2"/>
                <w:szCs w:val="24"/>
              </w:rPr>
              <w:t>行号：</w:t>
            </w:r>
          </w:p>
        </w:tc>
      </w:tr>
      <w:tr w14:paraId="20947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2412" w:type="dxa"/>
            <w:gridSpan w:val="2"/>
            <w:vAlign w:val="center"/>
          </w:tcPr>
          <w:p w14:paraId="74D6B3F0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购买（领取）人</w:t>
            </w:r>
          </w:p>
          <w:p w14:paraId="6E727F34">
            <w:pPr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签字</w:t>
            </w:r>
          </w:p>
        </w:tc>
        <w:tc>
          <w:tcPr>
            <w:tcW w:w="5771" w:type="dxa"/>
          </w:tcPr>
          <w:p w14:paraId="2DF0F262">
            <w:pPr>
              <w:spacing w:line="480" w:lineRule="exact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</w:tr>
    </w:tbl>
    <w:p w14:paraId="0A1D54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652EB"/>
    <w:multiLevelType w:val="multilevel"/>
    <w:tmpl w:val="914652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14C1AA1F"/>
    <w:multiLevelType w:val="singleLevel"/>
    <w:tmpl w:val="14C1AA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B242395"/>
    <w:multiLevelType w:val="multilevel"/>
    <w:tmpl w:val="1B2423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3">
    <w:nsid w:val="1B86B773"/>
    <w:multiLevelType w:val="singleLevel"/>
    <w:tmpl w:val="1B86B77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BA423E7"/>
    <w:multiLevelType w:val="multilevel"/>
    <w:tmpl w:val="4BA423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5">
    <w:nsid w:val="6C7C3231"/>
    <w:multiLevelType w:val="multilevel"/>
    <w:tmpl w:val="6C7C32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10907"/>
    <w:rsid w:val="26D01DA9"/>
    <w:rsid w:val="3071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文本）"/>
    <w:qFormat/>
    <w:uiPriority w:val="0"/>
    <w:pPr>
      <w:widowControl w:val="0"/>
      <w:snapToGrid w:val="0"/>
      <w:spacing w:beforeLines="20" w:line="360" w:lineRule="auto"/>
      <w:jc w:val="center"/>
    </w:pPr>
    <w:rPr>
      <w:rFonts w:ascii="Calibri" w:hAnsi="宋体" w:eastAsia="宋体" w:cs="Times New Roman"/>
      <w:kern w:val="2"/>
      <w:sz w:val="28"/>
      <w:szCs w:val="28"/>
      <w:lang w:val="en-US" w:eastAsia="zh-CN" w:bidi="ar-SA"/>
    </w:rPr>
  </w:style>
  <w:style w:type="paragraph" w:styleId="3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5">
    <w:name w:val="Body Text Indent"/>
    <w:basedOn w:val="1"/>
    <w:next w:val="3"/>
    <w:qFormat/>
    <w:uiPriority w:val="0"/>
    <w:pPr>
      <w:ind w:firstLine="560" w:firstLineChars="200"/>
    </w:pPr>
    <w:rPr>
      <w:sz w:val="28"/>
      <w:szCs w:val="24"/>
    </w:rPr>
  </w:style>
  <w:style w:type="paragraph" w:styleId="6">
    <w:name w:val="Body Text First Indent 2"/>
    <w:basedOn w:val="5"/>
    <w:next w:val="5"/>
    <w:unhideWhenUsed/>
    <w:qFormat/>
    <w:uiPriority w:val="0"/>
    <w:pPr>
      <w:ind w:firstLine="420"/>
    </w:p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标书正文"/>
    <w:basedOn w:val="1"/>
    <w:qFormat/>
    <w:uiPriority w:val="0"/>
    <w:pPr>
      <w:adjustRightInd w:val="0"/>
      <w:snapToGrid w:val="0"/>
      <w:ind w:firstLine="480" w:firstLineChars="200"/>
      <w:jc w:val="left"/>
    </w:pPr>
    <w:rPr>
      <w:rFonts w:ascii="宋体" w:hAnsi="宋体" w:eastAsia="宋体" w:cs="Times New Roman"/>
    </w:rPr>
  </w:style>
  <w:style w:type="paragraph" w:customStyle="1" w:styleId="11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1642</Words>
  <Characters>1853</Characters>
  <Lines>0</Lines>
  <Paragraphs>0</Paragraphs>
  <TotalTime>0</TotalTime>
  <ScaleCrop>false</ScaleCrop>
  <LinksUpToDate>false</LinksUpToDate>
  <CharactersWithSpaces>1899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2026-10-08T01:01:00Z</dcterms:created>
  <dc:creator>李不安生</dc:creator>
  <cp:lastModifiedBy>中哥</cp:lastModifiedBy>
  <dcterms:modified xsi:type="dcterms:W3CDTF">2026-10-09T14:01:46Z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8D72C7D3EF954966B8FCA9EB37D4271B_13</vt:lpwstr>
  </property>
  <property fmtid="{D5CDD505-2E9C-101B-9397-08002B2CF9AE}" pid="4" name="KSOTemplateDocerSaveRecord">
    <vt:lpwstr>eyJoZGlkIjoiNzI1MzljODBiNDliMzEyMzFlZWNlN2EzYjU0N2YzMWEiLCJ1c2VySWQiOiI0OTI3MTM0ODMifQ==</vt:lpwstr>
  </property>
</Properties>
</file>